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448 FamFG — Antragsberechtigter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Antragsberechtigt ist der Eigentümer des belasteten Grundstücks.</w:t>
      </w:r>
    </w:p>
    <w:p>
      <w:r>
        <w:t xml:space="preserve">(2) Antragsberechtigt im Fall des § 1170 des Bürgerlichen Gesetzbuchs ist auch ein im Rang gleich- oder nachstehender Gläubiger, zu dessen Gunsten eine Vormerkung nach § 1179 des Bürgerlichen Gesetzbuchs eingetragen ist oder ein Anspruch nach § 1179a des Bürgerlichen Gesetzbuchs besteht. Bei einer Gesamthypothek, Gesamtgrundschuld oder Gesamtrentenschuld ist außerdem derjenige antragsberechtigt, der auf Grund eines im Rang gleich- oder nachstehenden Rechts Befriedigung aus einem der belasteten Grundstücke verlangen kann. Die Antragsberechtigung besteht nur, wenn der Gläubiger oder der sonstige Berechtigte für seinen Anspruch einen vollstreckbaren Schuldtitel erlangt hat.</w:t>
      </w:r>
    </w:p>
    <w:p>
      <w:r>
        <w:rPr>
          <w:color w:val="555555"/>
          <w:sz w:val="17"/>
        </w:rPr>
        <w:t xml:space="preserve">Zitiervorschlag: § 448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