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443 FamFG — Antragsberechtigter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Antragsberechtigt ist derjenige, der das Grundstück seit der in § 927 des Bürgerlichen Gesetzbuchs bestimmten Zeit im Eigenbesitz hat.</w:t>
      </w:r>
    </w:p>
    <w:p>
      <w:r>
        <w:rPr>
          <w:color w:val="555555"/>
          <w:sz w:val="17"/>
        </w:rPr>
        <w:t xml:space="preserve">Zitiervorschlag: § 443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https://recht.nulegal.eu/gesetze/FamFG/443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