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439 FamFG — Erlass des Ausschließungsbeschlusses; Beschwerde; Wiedereinsetzung und Wiederaufnahme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Vor Erlass des Ausschließungsbeschlusses kann eine nähere Ermittlung, insbesondere die Versicherung der Wahrheit einer Behauptung des Antragstellers an Eides statt, angeordnet werden.</w:t>
      </w:r>
    </w:p>
    <w:p>
      <w:r>
        <w:t xml:space="preserve">(2) Die Endentscheidung in Aufgebotssachen wird erst mit Rechtskraft wirksam.</w:t>
      </w:r>
    </w:p>
    <w:p>
      <w:r>
        <w:t xml:space="preserve">(3) § 61 Abs. 1 ist nicht anzuwenden.</w:t>
      </w:r>
    </w:p>
    <w:p>
      <w:r>
        <w:t xml:space="preserve">(4) Die Vorschriften über die Wiedereinsetzung finden mit der Maßgabe Anwendung, dass die Frist, nach deren Ablauf die Wiedereinsetzung nicht mehr beantragt oder bewilligt werden kann, abweichend von § 18 Abs. 3 fünf Jahre beträgt. Die Vorschriften über die Wiederaufnahme finden mit der Maßgabe Anwendung, dass die Erhebung der Klagen nach Ablauf von zehn Jahren, von dem Tag der Rechtskraft des Ausschließungsbeschlusses an gerechnet, unstatthaft ist.</w:t>
      </w:r>
    </w:p>
    <w:p>
      <w:r>
        <w:rPr>
          <w:color w:val="555555"/>
          <w:sz w:val="17"/>
        </w:rPr>
        <w:t xml:space="preserve">Zitiervorschlag: § 439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