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434 FamFG — Antrag; Inhalt des Aufgebots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Aufgebotsverfahren wird nur auf Antrag eingeleitet.</w:t>
      </w:r>
    </w:p>
    <w:p>
      <w:r>
        <w:t xml:space="preserve">(2) Ist der Antrag zulässig, so hat das Gericht das Aufgebot zu erlassen. In das Aufgebot ist insbesondere aufzunehmen:</w:t>
      </w:r>
    </w:p>
    <w:p>
      <w:pPr>
        <w:ind w:left="420"/>
      </w:pPr>
      <w:r>
        <w:t xml:space="preserve">1. die Bezeichnung des Antragstellers;</w:t>
      </w:r>
    </w:p>
    <w:p>
      <w:pPr>
        <w:ind w:left="420"/>
      </w:pPr>
      <w:r>
        <w:t xml:space="preserve">2. die Aufforderung, die Ansprüche und Rechte bis zu einem bestimmten Zeitpunkt bei dem Gericht anzumelden (Anmeldezeitpunkt);</w:t>
      </w:r>
    </w:p>
    <w:p>
      <w:pPr>
        <w:ind w:left="420"/>
      </w:pPr>
      <w:r>
        <w:t xml:space="preserve">3. die Bezeichnung der Rechtsnachteile, die eintreten, wenn die Anmeldung unterbleibt.</w:t>
      </w:r>
    </w:p>
    <w:p>
      <w:r>
        <w:rPr>
          <w:color w:val="555555"/>
          <w:sz w:val="17"/>
        </w:rPr>
        <w:t xml:space="preserve">Zitiervorschlag: § 434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