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FamFG — Ergänzung des Beschlusses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Wenn ein Antrag, der nach den Verfahrensakten von einem Beteiligten gestellt wurde, ganz oder teilweise übergangen oder die Kostenentscheidung unterblieben ist, ist auf Antrag der Beschluss nachträglich zu ergänzen.</w:t>
      </w:r>
    </w:p>
    <w:p>
      <w:r>
        <w:t xml:space="preserve">(2) Die nachträgliche Entscheidung muss binnen einer zweiwöchigen Frist, die mit der schriftlichen Bekanntgabe des Beschlusses beginnt, beantragt werden.</w:t>
      </w:r>
    </w:p>
    <w:p>
      <w:r>
        <w:rPr>
          <w:color w:val="555555"/>
          <w:sz w:val="17"/>
        </w:rPr>
        <w:t xml:space="preserve">Zitiervorschlag: § 43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