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428 FamFG — Verwaltungsmaßnahme; richterliche Prüfung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Bei jeder Verwaltungsmaßnahme, die eine Freiheitsentziehung darstellt und nicht auf richterlicher Anordnung beruht, hat die zuständige Verwaltungsbehörde die richterliche Entscheidung unverzüglich herbeizuführen. Ist die Freiheitsentziehung nicht bis zum Ablauf des ihr folgenden Tages durch richterliche Entscheidung angeordnet, ist der Betroffene freizulassen.</w:t>
      </w:r>
    </w:p>
    <w:p>
      <w:r>
        <w:t xml:space="preserve">(2) Wird eine Maßnahme der Verwaltungsbehörde nach Absatz 1 Satz 1 angefochten, ist auch hierüber im gerichtlichen Verfahren nach den Vorschriften dieses Buches zu entscheiden.</w:t>
      </w:r>
    </w:p>
    <w:p>
      <w:r>
        <w:rPr>
          <w:color w:val="555555"/>
          <w:sz w:val="17"/>
        </w:rPr>
        <w:t xml:space="preserve">Zitiervorschlag: § 428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