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426 FamFG — Aufhebung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Beschluss, durch den eine Freiheitsentziehung angeordnet wird, ist vor Ablauf der nach § 425 Abs. 1 festgesetzten Frist von Amts wegen aufzuheben, wenn der Grund für die Freiheitsentziehung weggefallen ist. Vor der Aufhebung hat das Gericht die zuständige Verwaltungsbehörde anzuhören.</w:t>
      </w:r>
    </w:p>
    <w:p>
      <w:r>
        <w:t xml:space="preserve">(2) Die Beteiligten können die Aufhebung der Freiheitsentziehung beantragen. Das Gericht entscheidet über den Antrag durch Beschluss.</w:t>
      </w:r>
    </w:p>
    <w:p>
      <w:r>
        <w:rPr>
          <w:color w:val="555555"/>
          <w:sz w:val="17"/>
        </w:rPr>
        <w:t xml:space="preserve">Zitiervorschlag: § 426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https://recht.nulegal.eu/gesetze/FamFG/426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