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425 FamFG — Dauer und Verlängerung der Freiheitsentziehung</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In dem Beschluss, durch den eine Freiheitsentziehung angeordnet wird, ist eine Frist für die Freiheitsentziehung bis zur Höchstdauer eines Jahres zu bestimmen, soweit nicht in einem anderen Gesetz eine kürzere Höchstdauer der Freiheitsentziehung bestimmt ist.</w:t>
      </w:r>
    </w:p>
    <w:p>
      <w:r>
        <w:t xml:space="preserve">(2) Wird nicht innerhalb der Frist die Verlängerung der Freiheitsentziehung durch richterlichen Beschluss angeordnet, ist der Betroffene freizulassen. Dem Gericht ist die Freilassung mitzuteilen.</w:t>
      </w:r>
    </w:p>
    <w:p>
      <w:r>
        <w:t xml:space="preserve">(3) Für die Verlängerung der Freiheitsentziehung gelten die Vorschriften über die erstmalige Anordnung entsprechend.</w:t>
      </w:r>
    </w:p>
    <w:p>
      <w:r>
        <w:rPr>
          <w:color w:val="555555"/>
          <w:sz w:val="17"/>
        </w:rPr>
        <w:t xml:space="preserve">Zitiervorschlag: § 425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