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422 FamFG — Wirksamwerden von Beschlüssen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Der Beschluss, durch den eine Freiheitsentziehung angeordnet wird, wird mit Rechtskraft wirksam.</w:t>
      </w:r>
    </w:p>
    <w:p>
      <w:r>
        <w:t xml:space="preserve">(2) Das Gericht kann die sofortige Wirksamkeit des Beschlusses anordnen. In diesem Fall wird er wirksam, wenn der Beschluss und die Anordnung der sofortigen Wirksamkeit</w:t>
      </w:r>
    </w:p>
    <w:p>
      <w:pPr>
        <w:ind w:left="420"/>
      </w:pPr>
      <w:r>
        <w:t xml:space="preserve">1. dem Betroffenen, der zuständigen Verwaltungsbehörde oder dem Verfahrenspfleger bekannt gegeben werden oder</w:t>
      </w:r>
    </w:p>
    <w:p>
      <w:pPr>
        <w:ind w:left="420"/>
      </w:pPr>
      <w:r>
        <w:t xml:space="preserve">2. der Geschäftsstelle des Gerichts zum Zweck der Bekanntgabe übergeben werden.</w:t>
      </w:r>
    </w:p>
    <w:p>
      <w:r>
        <w:t xml:space="preserve">Der Zeitpunkt der sofortigen Wirksamkeit ist auf dem Beschluss zu vermerken.</w:t>
      </w:r>
    </w:p>
    <w:p>
      <w:r>
        <w:t xml:space="preserve">(3) Der Beschluss, durch den eine Freiheitsentziehung angeordnet wird, wird von der zuständigen Verwaltungsbehörde vollzogen.</w:t>
      </w:r>
    </w:p>
    <w:p>
      <w:r>
        <w:rPr>
          <w:color w:val="555555"/>
          <w:sz w:val="17"/>
        </w:rPr>
        <w:t xml:space="preserve">Zitiervorschlag: § 422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