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421 FamFG — Inhalt der Beschlussformel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Beschlussformel zur Anordnung einer Freiheitsentziehung enthält auch</w:t>
      </w:r>
    </w:p>
    <w:p>
      <w:pPr>
        <w:ind w:left="420"/>
      </w:pPr>
      <w:r>
        <w:t xml:space="preserve">1. die nähere Bezeichnung der Freiheitsentziehung sowie</w:t>
      </w:r>
    </w:p>
    <w:p>
      <w:pPr>
        <w:ind w:left="420"/>
      </w:pPr>
      <w:r>
        <w:t xml:space="preserve">2. den Zeitpunkt, zu dem die Freiheitsentziehung endet.</w:t>
      </w:r>
    </w:p>
    <w:p>
      <w:r>
        <w:rPr>
          <w:color w:val="555555"/>
          <w:sz w:val="17"/>
        </w:rPr>
        <w:t xml:space="preserve">Zitiervorschlag: § 421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