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419 FamFG — Verfahrenspfleger</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dem Betroffenen einen geeigneten Verfahrenspfleger zu bestellen, wenn dies zur Wahrnehmung seiner Interessen erforderlich ist. Die Bestellung ist insbesondere erforderlich, wenn von einer Anhörung des Betroffenen abgesehen werden soll.</w:t>
      </w:r>
    </w:p>
    <w:p>
      <w:r>
        <w:t xml:space="preserve">(2) Der Verfahrenspfleger hat die Wünsche, hilfsweise den mutmaßlichen Willen des Betroffenen festzustellen und im gerichtlichen Verfahren zur Geltung zu bringen. Er hat den Betroffenen über Gegenstand, Ablauf und möglichen Ausgang des Verfahrens in geeigneter Weise zu informieren und ihn bei Bedarf bei der Ausübung seiner Rechte im Verfahren zu unterstützen. Er ist nicht gesetzlicher Vertreter des Betroffenen.</w:t>
      </w:r>
    </w:p>
    <w:p>
      <w:r>
        <w:t xml:space="preserve">(3) Die Bestellung eines Verfahrenspflegers soll unterbleiben oder aufgehoben werden, wenn die Interessen des Betroffenen von einem Rechtsanwalt oder einem anderen geeigneten Verfahrensbevollmächtigten vertreten werden.</w:t>
      </w:r>
    </w:p>
    <w:p>
      <w:r>
        <w:t xml:space="preserve">(4) Die Bestellung endet, wenn sie nicht vorher aufgehoben wird, mit der Rechtskraft des Beschlusses über die Freiheitsentziehung oder mit dem sonstigen Abschluss des Verfahrens.</w:t>
      </w:r>
    </w:p>
    <w:p>
      <w:r>
        <w:t xml:space="preserve">(5) Die Bestellung eines Verfahrenspflegers oder deren Aufhebung sowie die Ablehnung einer derartigen Maßnahme sind nicht selbständig anfechtbar.</w:t>
      </w:r>
    </w:p>
    <w:p>
      <w:r>
        <w:t xml:space="preserve">(6) Für die Vergütung und den Aufwendungsersatz des Verfahrenspflegers gilt § 277 entsprechend. Dem Verfahrenspfleger sind keine Kosten aufzuerlegen.</w:t>
      </w:r>
    </w:p>
    <w:p>
      <w:r>
        <w:rPr>
          <w:color w:val="555555"/>
          <w:sz w:val="17"/>
        </w:rPr>
        <w:t xml:space="preserve">Zitiervorschlag: § 419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