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417 FamFG — Antrag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Die Freiheitsentziehung darf das Gericht nur auf Antrag der zuständigen Verwaltungsbehörde anordnen.</w:t>
      </w:r>
    </w:p>
    <w:p>
      <w:r>
        <w:t xml:space="preserve">(2) Der Antrag ist zu begründen. Die Begründung hat folgende Tatsachen zu enthalten:</w:t>
      </w:r>
    </w:p>
    <w:p>
      <w:pPr>
        <w:ind w:left="420"/>
      </w:pPr>
      <w:r>
        <w:t xml:space="preserve">1. die Identität des Betroffenen,</w:t>
      </w:r>
    </w:p>
    <w:p>
      <w:pPr>
        <w:ind w:left="420"/>
      </w:pPr>
      <w:r>
        <w:t xml:space="preserve">2. den gewöhnlichen Aufenthaltsort des Betroffenen,</w:t>
      </w:r>
    </w:p>
    <w:p>
      <w:pPr>
        <w:ind w:left="420"/>
      </w:pPr>
      <w:r>
        <w:t xml:space="preserve">3. die Erforderlichkeit der Freiheitsentziehung,</w:t>
      </w:r>
    </w:p>
    <w:p>
      <w:pPr>
        <w:ind w:left="420"/>
      </w:pPr>
      <w:r>
        <w:t xml:space="preserve">4. die erforderliche Dauer der Freiheitsentziehung sowie</w:t>
      </w:r>
    </w:p>
    <w:p>
      <w:pPr>
        <w:ind w:left="420"/>
      </w:pPr>
      <w:r>
        <w:t xml:space="preserve">5. in Verfahren der Abschiebungs-, Zurückschiebungs- und Zurückweisungshaft die Verlassenspflicht des Betroffenen sowie die Voraussetzungen und die Durchführbarkeit der Abschiebung, Zurückschiebung und Zurückweisung.</w:t>
      </w:r>
    </w:p>
    <w:p>
      <w:r>
        <w:t xml:space="preserve">Die Behörde soll in Verfahren der Abschiebungshaft mit der Antragstellung die Akte des Betroffenen vorlegen.</w:t>
      </w:r>
    </w:p>
    <w:p>
      <w:r>
        <w:t xml:space="preserve">(3) Tatsachen nach Absatz 2 Satz 2 können bis zum Ende der letzten Tatsacheninstanz ergänzt werden.</w:t>
      </w:r>
    </w:p>
    <w:p>
      <w:r>
        <w:rPr>
          <w:color w:val="555555"/>
          <w:sz w:val="17"/>
        </w:rPr>
        <w:t xml:space="preserve">Zitiervorschlag: § 417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