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415 FamFG — Freiheitsentziehungssachen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Freiheitsentziehungssachen sind Verfahren, die die auf Grund von Bundesrecht angeordnete Freiheitsentziehung betreffen, soweit das Verfahren bundesrechtlich nicht abweichend geregelt ist.</w:t>
      </w:r>
    </w:p>
    <w:p>
      <w:r>
        <w:t xml:space="preserve">(2) Eine Freiheitsentziehung liegt vor, wenn einer Person gegen ihren Willen oder im Zustand der Willenlosigkeit insbesondere in einer abgeschlossenen Einrichtung, wie einem Gewahrsamsraum oder einem abgeschlossenen Teil eines Krankenhauses, die Freiheit entzogen wird.</w:t>
      </w:r>
    </w:p>
    <w:p>
      <w:r>
        <w:rPr>
          <w:color w:val="555555"/>
          <w:sz w:val="17"/>
        </w:rPr>
        <w:t xml:space="preserve">Zitiervorschlag: § 415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