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412 FamFG — Beteiligte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Beteiligte sind hinzuzuziehen:</w:t>
      </w:r>
    </w:p>
    <w:p>
      <w:pPr>
        <w:ind w:left="420"/>
      </w:pPr>
      <w:r>
        <w:t xml:space="preserve">1. in Verfahren nach § 410 Nr. 1 derjenige, der zur Abgabe der eidesstattlichen Versicherung verpflichtet ist, und der Berechtigte;</w:t>
      </w:r>
    </w:p>
    <w:p>
      <w:pPr>
        <w:ind w:left="420"/>
      </w:pPr>
      <w:r>
        <w:t xml:space="preserve">2. in Verfahren nach § 410 Nr. 2 derjenige, der zum Sachverständigen ernannt werden soll, und der Gegner, soweit ein solcher vorhanden ist;</w:t>
      </w:r>
    </w:p>
    <w:p>
      <w:pPr>
        <w:ind w:left="420"/>
      </w:pPr>
      <w:r>
        <w:t xml:space="preserve">3. in Verfahren nach § 410 Nr. 3 derjenige, der zum Verwahrer bestellt werden soll, in den Fällen der §§ 432, 1281 und 2039 des Bürgerlichen Gesetzbuchs außerdem der Mitberechtigte, im Fall des § 1217 des Bürgerlichen Gesetzbuchs außerdem der Pfandgläubiger und in einem Verfahren, das die Festsetzung der Vergütung und der Auslagen des Verwahrers betrifft, dieser und die Gläubiger;</w:t>
      </w:r>
    </w:p>
    <w:p>
      <w:pPr>
        <w:ind w:left="420"/>
      </w:pPr>
      <w:r>
        <w:t xml:space="preserve">4. in Verfahren nach § 410 Nr. 4 der Eigentümer, der Pfandgläubiger und jeder, dessen Recht durch eine Veräußerung des Pfands erlöschen würde.</w:t>
      </w:r>
    </w:p>
    <w:p>
      <w:r>
        <w:rPr>
          <w:color w:val="555555"/>
          <w:sz w:val="17"/>
        </w:rPr>
        <w:t xml:space="preserve">Zitiervorschlag: § 412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