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408 FamFG — Beschwerde</w:t>
      </w:r>
    </w:p>
    <w:p>
      <w:r>
        <w:rPr>
          <w:color w:val="555555"/>
          <w:sz w:val="18"/>
        </w:rPr>
        <w:t xml:space="preserve">Gesetz über das Verfahren in Familiensachen und in den Angelegenheiten der freiwilligen Gerichtsbarkeit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Beschluss, durch den ein nach § 405 gestellter Antrag auf gerichtliche Verhandlung zurückgewiesen, über die Bestätigung der Dispache entschieden oder ein Beteiligter nach § 404 zur Herausgabe von Schriftstücken verpflichtet wird, ist mit der Beschwerde anfechtbar.</w:t>
      </w:r>
    </w:p>
    <w:p>
      <w:r>
        <w:t xml:space="preserve">(2) Einwendungen gegen die Dispache, die mittels Widerspruchs geltend zu machen sind, können nicht mit der Beschwerde geltend gemacht werden.</w:t>
      </w:r>
    </w:p>
    <w:p>
      <w:r>
        <w:rPr>
          <w:color w:val="555555"/>
          <w:sz w:val="17"/>
        </w:rPr>
        <w:t xml:space="preserve">Zitiervorschlag: § 408 FamFG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https://recht.nulegal.eu/gesetze/FamFG/408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