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406 FamFG — Verfahren im Termin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im Termin ein Widerspruch gegen die Dispache nicht erhoben und ist ein solcher auch vorher nicht angemeldet, hat das Gericht die Dispache gegenüber den an dem Verfahren Beteiligten zu bestätigen.</w:t>
      </w:r>
    </w:p>
    <w:p>
      <w:r>
        <w:t xml:space="preserve">(2) Liegt ein Widerspruch vor, haben sich die Beteiligten, deren Rechte durch ihn betroffen werden, zu erklären. Wird der Widerspruch als begründet anerkannt oder kommt anderweitig eine Einigung zustande, ist die Dispache entsprechend zu berichtigen. Erledigt sich der Widerspruch nicht, so ist die Dispache insoweit zu bestätigen, als sie durch den Widerspruch nicht berührt wird.</w:t>
      </w:r>
    </w:p>
    <w:p>
      <w:r>
        <w:t xml:space="preserve">(3) Werden durch den Widerspruch die Rechte eines in dem Termin nicht erschienenen Beteiligten betroffen, wird angenommen, dass dieser den Widerspruch nicht als begründet anerkennt.</w:t>
      </w:r>
    </w:p>
    <w:p>
      <w:r>
        <w:rPr>
          <w:color w:val="555555"/>
          <w:sz w:val="17"/>
        </w:rPr>
        <w:t xml:space="preserve">Zitiervorschlag: § 406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