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405 FamFG — Termin; Ladung</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Jeder Beteiligte ist befugt, bei dem Gericht eine mündliche Verhandlung über die von dem Dispacheur aufgemachte Dispache zu beantragen. In dem Antrag sind diejenigen Beteiligten zu bezeichnen, welche zu dem Verfahren hinzugezogen werden sollen.</w:t>
      </w:r>
    </w:p>
    <w:p>
      <w:r>
        <w:t xml:space="preserve">(2) Wird ein Antrag auf mündliche Verhandlung gestellt, hat das Gericht die Dispache und deren Unterlagen von dem Dispacheur einzuziehen und, wenn nicht offensichtlich die Voraussetzungen der großen Haverei fehlen, den Antragsteller sowie die von ihm bezeichneten Beteiligten zu einem Termin zu laden.</w:t>
      </w:r>
    </w:p>
    <w:p>
      <w:r>
        <w:t xml:space="preserve">(3) Die Ladung muss den Hinweis darauf enthalten, dass, wenn der Geladene weder in dem Termin erscheint noch vorher Widerspruch gegen die Dispache bei dem Gericht anmeldet, sein Einverständnis mit der Dispache angenommen wird. In der Ladung ist zu bemerken, dass die Dispache und deren Unterlagen auf der Geschäftsstelle eingesehen werden können.</w:t>
      </w:r>
    </w:p>
    <w:p>
      <w:r>
        <w:t xml:space="preserve">(4) Die Frist zwischen der Ladung und dem Termin muss mindestens zwei Wochen betragen.</w:t>
      </w:r>
    </w:p>
    <w:p>
      <w:r>
        <w:t xml:space="preserve">(5) Erachtet das Gericht eine Vervollständigung der Unterlagen der Dispache für notwendig, hat es die Beibringung der erforderlichen Belege anzuordnen. § 404 Abs. 1 gilt entsprechend.</w:t>
      </w:r>
    </w:p>
    <w:p>
      <w:r>
        <w:rPr>
          <w:color w:val="555555"/>
          <w:sz w:val="17"/>
        </w:rPr>
        <w:t xml:space="preserve">Zitiervorschlag: § 405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