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404 FamFG — Aushändigung von Schriftstücken; Einsichtsrecht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des Dispacheurs kann das Gericht einen Beteiligten verpflichten, dem Dispacheur die in seinem Besitz befindlichen Schriftstücke, zu deren Mitteilung er gesetzlich verpflichtet ist, auszuhändigen.</w:t>
      </w:r>
    </w:p>
    <w:p>
      <w:r>
        <w:t xml:space="preserve">(2) Der Dispacheur ist verpflichtet, jedem Beteiligten Einsicht in die Dispache zu gewähren und ihm auf Verlangen eine Abschrift gegen Erstattung der Kosten zu erteilen.</w:t>
      </w:r>
    </w:p>
    <w:p>
      <w:r>
        <w:rPr>
          <w:color w:val="555555"/>
          <w:sz w:val="17"/>
        </w:rPr>
        <w:t xml:space="preserve">Zitiervorschlag: § 404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