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402 FamFG — Anfechtbarkeit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Beschluss des Gerichts, durch den über Anträge nach § 375 entschieden wird, ist mit der Beschwerde anfechtbar.</w:t>
      </w:r>
    </w:p>
    <w:p>
      <w:r>
        <w:t xml:space="preserve">(2) Eine Anfechtung des Beschlusses, durch den einem Antrag nach § 11 des Binnenschifffahrtsgesetzes oder § 595 Absatz 2 des Handelsgesetzbuchs, auch in Verbindung mit § 78 des Binnenschifffahrtsgesetzes, stattgegeben wird, ist ausgeschlossen.</w:t>
      </w:r>
    </w:p>
    <w:p>
      <w:r>
        <w:t xml:space="preserve">(3) Die Vorschriften des Handelsgesetzbuchs, des Aktiengesetzes und des Publizitätsgesetzes über die Beschwerde bleiben unberührt.</w:t>
      </w:r>
    </w:p>
    <w:p>
      <w:r>
        <w:rPr>
          <w:color w:val="555555"/>
          <w:sz w:val="17"/>
        </w:rPr>
        <w:t xml:space="preserve">Zitiervorschlag: § 402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