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392 FamFG — Verfahren bei unbefugtem Firmengebrauch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Soll nach § 37 Abs. 1 des Handelsgesetzbuchs gegen eine Person eingeschritten werden, die eine ihr nicht zustehende Firma gebraucht, sind die §§ 388 bis 391 anzuwenden, wobei</w:t>
      </w:r>
    </w:p>
    <w:p>
      <w:pPr>
        <w:ind w:left="420"/>
      </w:pPr>
      <w:r>
        <w:t xml:space="preserve">1. dem Beteiligten unter Androhung eines Ordnungsgelds aufgegeben wird, sich des Gebrauchs der Firma zu enthalten oder binnen einer bestimmten Frist den Gebrauch der Firma mittels Einspruchs zu rechtfertigen;</w:t>
      </w:r>
    </w:p>
    <w:p>
      <w:pPr>
        <w:ind w:left="420"/>
      </w:pPr>
      <w:r>
        <w:t xml:space="preserve">2. das Ordnungsgeld festgesetzt wird, falls kein Einspruch erhoben oder der erhobene Einspruch rechtskräftig verworfen ist und der Beteiligte nach der Bekanntmachung des Beschlusses diesem zuwidergehandelt hat.</w:t>
      </w:r>
    </w:p>
    <w:p>
      <w:r>
        <w:t xml:space="preserve">(2) Absatz 1 gilt entsprechend im Fall des unbefugten Gebrauchs des Namens einer Partnerschaft oder einer eingetragenen Gesellschaft bürgerlichen Rechts.</w:t>
      </w:r>
    </w:p>
    <w:p>
      <w:r>
        <w:rPr>
          <w:color w:val="555555"/>
          <w:sz w:val="17"/>
        </w:rPr>
        <w:t xml:space="preserve">Zitiervorschlag: § 392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