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391 FamFG — Beschwerde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Beschluss, durch den das Zwangsgeld festgesetzt oder der Einspruch verworfen wird, ist mit der Beschwerde anfechtbar.</w:t>
      </w:r>
    </w:p>
    <w:p>
      <w:r>
        <w:t xml:space="preserve">(2) Ist das Zwangsgeld nach § 389 festgesetzt, kann die Beschwerde nicht darauf gestützt werden, dass die Androhung des Zwangsgelds nicht gerechtfertigt gewesen sei.</w:t>
      </w:r>
    </w:p>
    <w:p>
      <w:r>
        <w:rPr>
          <w:color w:val="555555"/>
          <w:sz w:val="17"/>
        </w:rPr>
        <w:t xml:space="preserve">Zitiervorschlag: § 391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