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389 FamFG — Festsetzung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innerhalb der bestimmten Frist weder der gesetzlichen Verpflichtung genügt noch Einspruch erhoben, ist das angedrohte Zwangsgeld durch Beschluss festzusetzen und zugleich die Aufforderung nach § 388 unter Androhung eines erneuten Zwangsgelds zu wiederholen.</w:t>
      </w:r>
    </w:p>
    <w:p>
      <w:r>
        <w:t xml:space="preserve">(2) Mit der Festsetzung des Zwangsgelds sind dem Beteiligten zugleich die Kosten des Verfahrens aufzuerlegen.</w:t>
      </w:r>
    </w:p>
    <w:p>
      <w:r>
        <w:t xml:space="preserve">(3) In gleicher Weise ist fortzufahren, bis der gesetzlichen Verpflichtung genügt oder Einspruch erhoben wird.</w:t>
      </w:r>
    </w:p>
    <w:p>
      <w:r>
        <w:rPr>
          <w:color w:val="555555"/>
          <w:sz w:val="17"/>
        </w:rPr>
        <w:t xml:space="preserve">Zitiervorschlag: § 389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https://recht.nulegal.eu/gesetze/FamFG/389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