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388 FamFG — Androhung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(1) Sobald das Registergericht von einem Sachverhalt, der sein Einschreiten nach den §§ 14, 37a Abs. 4 und § 125 Abs. 2 des Handelsgesetzbuchs, auch in Verbindung mit § 707b Nummer 2 des Bürgerlichen Gesetzbuchs, § 5 Absatz 2 des Partnerschaftsgesellschaftsgesetzes oder § 160 Absatz 1 des Genossenschaftsgesetzes, den §§ 407 und 408 des Aktiengesetzes, § 79 Abs. 1 des Gesetzes betreffend die Gesellschaften mit beschränkter Haftung, § 350 des Umwandlungsgesetzes oder § 12 des EWIV-Ausführungsgesetzes rechtfertigt, glaubhafte Kenntnis erhält, hat es dem Beteiligten unter Androhung eines Zwangsgelds aufzugeben, innerhalb einer bestimmten Frist seiner gesetzlichen Verpflichtung nachzukommen oder die Unterlassung mittels Einspruchs zu rechtfertigen.</w:t>
      </w:r>
    </w:p>
    <w:p>
      <w:r>
        <w:t xml:space="preserve">(2) In gleicher Weise kann das Registergericht gegen die Mitglieder des Vorstands eines Vereins oder dessen Liquidatoren vorgehen, um sie zur Befolgung der in § 78 des Bürgerlichen Gesetzbuchs genannten Vorschriften anzuhalten.</w:t>
      </w:r>
    </w:p>
    <w:p>
      <w:r>
        <w:rPr>
          <w:color w:val="555555"/>
          <w:sz w:val="17"/>
        </w:rPr>
        <w:t xml:space="preserve">Zitiervorschlag: § 388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