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385 FamFG — Einsicht in die Register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Einsicht in die in § 374 genannten Register sowie die zum jeweiligen Register eingereichten Dokumente bestimmt sich nach den besonderen registerrechtlichen Vorschriften sowie den auf Grund von § 387 erlassenen Rechtsverordnungen.</w:t>
      </w:r>
    </w:p>
    <w:p>
      <w:r>
        <w:rPr>
          <w:color w:val="555555"/>
          <w:sz w:val="17"/>
        </w:rPr>
        <w:t xml:space="preserve">Zitiervorschlag: § 385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