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384 FamFG — Von Amts wegen vorzunehmende Eintragungen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Auf Eintragungen von Amts wegen sind § 382 Abs. 1 Satz 2 und Abs. 2 sowie § 383 entsprechend anwendbar.</w:t>
      </w:r>
    </w:p>
    <w:p>
      <w:r>
        <w:t xml:space="preserve">(2) Führt eine von Amts wegen einzutragende Tatsache zur Unrichtigkeit anderer in diesem Registerblatt eingetragener Tatsachen, ist dies von Amts wegen in geeigneter Weise kenntlich zu machen.</w:t>
      </w:r>
    </w:p>
    <w:p>
      <w:r>
        <w:rPr>
          <w:color w:val="555555"/>
          <w:sz w:val="17"/>
        </w:rPr>
        <w:t xml:space="preserve">Zitiervorschlag: § 384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https://recht.nulegal.eu/gesetze/FamFG/384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