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383 FamFG — Mitteilung; Anfechtbarkeit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ist den Beteiligten formlos mitzuteilen; auf die Mitteilung kann verzichtet werden.</w:t>
      </w:r>
    </w:p>
    <w:p>
      <w:r>
        <w:t xml:space="preserve">(2) Die Vorschriften über die Veröffentlichung von Eintragungen in das Register bleiben unberührt.</w:t>
      </w:r>
    </w:p>
    <w:p>
      <w:r>
        <w:t xml:space="preserve">(3) Die Eintragung ist nicht anfechtbar.</w:t>
      </w:r>
    </w:p>
    <w:p>
      <w:r>
        <w:rPr>
          <w:color w:val="555555"/>
          <w:sz w:val="17"/>
        </w:rPr>
        <w:t xml:space="preserve">Zitiervorschlag: § 383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