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379 FamFG — Mitteilungspflichten der Behörden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Gerichte, die Staatsanwaltschaften, die Polizei- und Gemeindebehörden sowie die Notare haben die ihnen amtlich zur Kenntnis gelangenden Fälle einer unrichtigen, unvollständigen oder unterlassenen Anmeldung zum Handels-, Genossenschafts-, Gesellschafts-, Partnerschafts- oder Vereinsregister dem Registergericht mitzuteilen.</w:t>
      </w:r>
    </w:p>
    <w:p>
      <w:r>
        <w:t xml:space="preserve">(2) Die Finanzbehörden haben den Registergerichten Auskunft über die steuerlichen Verhältnisse von Kaufleuten oder Unternehmen, insbesondere auf dem Gebiet der Gewerbe- und Umsatzsteuer, zu erteilen, soweit diese Auskunft zur Verhütung unrichtiger Eintragungen im Handels-, Gesellschafts- oder Partnerschaftsregister sowie zur Berichtigung, Vervollständigung oder Löschung von Eintragungen im Register benötigt wird. Die Auskünfte unterliegen nicht der Akteneinsicht (§ 13).</w:t>
      </w:r>
    </w:p>
    <w:p>
      <w:r>
        <w:rPr>
          <w:color w:val="555555"/>
          <w:sz w:val="17"/>
        </w:rPr>
        <w:t xml:space="preserve">Zitiervorschlag: § 379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