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377 FamFG — Örtliche Zuständigkeit</w:t>
      </w:r>
    </w:p>
    <w:p>
      <w:r>
        <w:rPr>
          <w:color w:val="555555"/>
          <w:sz w:val="18"/>
        </w:rPr>
        <w:t xml:space="preserve">Gesetz über das Verfahren in Familiensachen und in den Angelegenheiten der freiwilligen Gerichtsbarkeit</w:t>
      </w:r>
    </w:p>
    <w:p>
      <w:r>
        <w:rPr>
          <w:color w:val="555555"/>
          <w:sz w:val="18"/>
        </w:rPr>
        <w:t xml:space="preserve">Stand: 01.01.2023 (konsolidierte Textfassung, kein amtliches Inkrafttretensdatum)</w:t>
      </w:r>
    </w:p>
    <w:p>
      <w:r>
        <w:t xml:space="preserve">(1) Ausschließlich zuständig ist das Gericht, in dessen Bezirk sich die Niederlassung des Einzelkaufmanns, der Sitz der Gesellschaft, des Versicherungsvereins, der Genossenschaft, der Partnerschaft oder des Vereins befindet, soweit sich aus den entsprechenden Gesetzen nichts anderes ergibt.</w:t>
      </w:r>
    </w:p>
    <w:p>
      <w:r>
        <w:t xml:space="preserve">(2) Für die Angelegenheiten, die den Gerichten in Ansehung der nach dem Handelsgesetzbuch oder nach dem Binnenschifffahrtsgesetz aufzumachenden Dispache zugewiesen sind, ist das Gericht des Ortes zuständig, an dem die Verteilung der Havereischäden zu erfolgen hat.</w:t>
      </w:r>
    </w:p>
    <w:p>
      <w:r>
        <w:t xml:space="preserve">(3) § 2 Abs. 1 ist nicht anzuwenden.</w:t>
      </w:r>
    </w:p>
    <w:p>
      <w:r>
        <w:rPr>
          <w:color w:val="555555"/>
          <w:sz w:val="17"/>
        </w:rPr>
        <w:t xml:space="preserve">Zitiervorschlag: § 377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