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376 FamFG — Besondere Zuständigkeitsregelungen; Verordnungsermächtigung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Für Verfahren nach § 374 Nummer 1 bis 3 sowie § 375 Nummer 1, 3 bis 14 sowie 16 und 17 ist das Gericht, in dessen Bezirk ein Landgericht seinen Sitz hat, für den Bezirk dieses Landgerichts zuständig.</w:t>
      </w:r>
    </w:p>
    <w:p>
      <w:r>
        <w:t xml:space="preserve">(2) Die Landesregierungen werden ermächtigt, durch Rechtsverordnung die Aufgaben nach § 374 Nummer 1 bis 4 sowie § 375 Nummer 1, 3 bis 14, 16 und 17 anderen oder zusätzlichen Amtsgerichten zu übertragen und die Bezirke der Gerichte abweichend von Absatz 1 festzulegen. Sie können die Ermächtigung nach Satz 1 durch Rechtsverordnung auf die Landesjustizverwaltungen übertragen. Mehrere Länder können die Zuständigkeit eines Gerichts für Verfahren nach § 374 Nummer 1 bis 4 über die Landesgrenzen hinaus vereinbaren.</w:t>
      </w:r>
    </w:p>
    <w:p>
      <w:r>
        <w:rPr>
          <w:color w:val="555555"/>
          <w:sz w:val="17"/>
        </w:rPr>
        <w:t xml:space="preserve">Zitiervorschlag: § 376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