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375 FamFG — Unternehmensrechtliche Verfahren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Unternehmensrechtliche Verfahren sind die nach</w:t>
      </w:r>
    </w:p>
    <w:p>
      <w:pPr>
        <w:ind w:left="420"/>
      </w:pPr>
      <w:r>
        <w:t xml:space="preserve">1. § 145 Absatz 1 und 3, § 152 Absatz 1 und § 318 Absatz 3 bis 5 des Handelsgesetzbuchs,</w:t>
      </w:r>
    </w:p>
    <w:p>
      <w:pPr>
        <w:ind w:left="420"/>
      </w:pPr>
      <w:r>
        <w:t xml:space="preserve">2. § 11 des Binnenschifffahrtsgesetzes, nach den Vorschriften dieses Gesetzes, die die Dispache betreffen, sowie nach § 595 Absatz 2 des Handelsgesetzbuchs, auch in Verbindung mit § 78 des Binnenschifffahrtsgesetzes,</w:t>
      </w:r>
    </w:p>
    <w:p>
      <w:pPr>
        <w:ind w:left="420"/>
      </w:pPr>
      <w:r>
        <w:t xml:space="preserve">3. § 33 Abs. 3, den §§ 35 und 73 Abs. 1, den §§ 85 und 103 Abs. 3, den §§ 104 und 122 Abs. 3, § 147 Abs. 2, § 183a Absatz 3, § 264 Absatz 2, § 265 Abs. 3 und 4, § 270 Abs. 3, § 273 Abs. 2 bis 4 sowie § 290 Absatz 3 des Aktiengesetzes,</w:t>
      </w:r>
    </w:p>
    <w:p>
      <w:pPr>
        <w:ind w:left="420"/>
      </w:pPr>
      <w:r>
        <w:t xml:space="preserve">4. Artikel 55 Abs. 3 der Verordnung (EG) Nr. 2157/2001 des Rates vom 8. Oktober 2001 über das Statut der Europäischen Gesellschaft (SE) (ABl. EG Nr. L 294 S. 1) sowie § 29 Abs. 3, § 30 Abs. 1, 2 und 4, § 45 des SE-Ausführungsgesetzes,</w:t>
      </w:r>
    </w:p>
    <w:p>
      <w:pPr>
        <w:ind w:left="420"/>
      </w:pPr>
      <w:r>
        <w:t xml:space="preserve">5. § 26 Abs. 1 und 4 sowie § 206 Satz 2 und 3 des Umwandlungsgesetzes,</w:t>
      </w:r>
    </w:p>
    <w:p>
      <w:pPr>
        <w:ind w:left="420"/>
      </w:pPr>
      <w:r>
        <w:t xml:space="preserve">5a. § 6b Absatz 1 bis 4 sowie den §§ 6d und 6e des Außenwirtschaftsgesetzes,</w:t>
      </w:r>
    </w:p>
    <w:p>
      <w:pPr>
        <w:ind w:left="420"/>
      </w:pPr>
      <w:r>
        <w:t xml:space="preserve">6. § 66 Abs. 2, 3 und 5, § 71 Abs. 3 sowie § 74 Abs. 2 und 3 des Gesetzes betreffend die Gesellschaften mit beschränkter Haftung,</w:t>
      </w:r>
    </w:p>
    <w:p>
      <w:pPr>
        <w:ind w:left="420"/>
      </w:pPr>
      <w:r>
        <w:t xml:space="preserve">7. § 45 Abs. 3, den §§ 64b, 83 Abs. 3, 4 und 5 sowie § 93 des Genossenschaftsgesetzes,</w:t>
      </w:r>
    </w:p>
    <w:p>
      <w:pPr>
        <w:ind w:left="420"/>
      </w:pPr>
      <w:r>
        <w:t xml:space="preserve">8. Artikel 54 Abs. 2 der Verordnung (EG) Nr. 1435/2003 des Rates vom 22. Juli 2003 über das Statut der Europäischen Genossenschaft (SCE) (ABl. EU Nr. L 207 S. 1),</w:t>
      </w:r>
    </w:p>
    <w:p>
      <w:pPr>
        <w:ind w:left="420"/>
      </w:pPr>
      <w:r>
        <w:t xml:space="preserve">9. § 2 Abs. 3 und § 12 Abs. 3 des Publizitätsgesetzes,</w:t>
      </w:r>
    </w:p>
    <w:p>
      <w:pPr>
        <w:ind w:left="420"/>
      </w:pPr>
      <w:r>
        <w:t xml:space="preserve">10. § 11 Abs. 3 des Gesetzes über die Mitbestimmung der Arbeitnehmer in den Aufsichtsräten und Vorständen der Unternehmen des Bergbaus und der Eisen und Stahl erzeugenden Industrie,</w:t>
      </w:r>
    </w:p>
    <w:p>
      <w:pPr>
        <w:ind w:left="420"/>
      </w:pPr>
      <w:r>
        <w:t xml:space="preserve">11. § 2c Absatz 2 Satz 2 bis 7, § 2h Absatz 22 Satz 2 und Absatz 23 Satz 1 und 3, § 28 Absatz 2, § 36 Absatz 3 Satz 3, § 38 Absatz 2 Satz 2, § 45a Absatz 2 Satz 1, 3, 4 und 6 des Kreditwesengesetzes,</w:t>
      </w:r>
    </w:p>
    <w:p>
      <w:pPr>
        <w:ind w:left="420"/>
      </w:pPr>
      <w:r>
        <w:t xml:space="preserve">11a. § 2a Absatz 4 Satz 2 und 3 des Investmentgesetzes,</w:t>
      </w:r>
    </w:p>
    <w:p>
      <w:pPr>
        <w:ind w:left="420"/>
      </w:pPr>
      <w:r>
        <w:t xml:space="preserve">11b. § 27 Absatz 2 Satz 1 bis 6 und § 77 Absatz 2 des Wertpapierinstitutsgesetzes,</w:t>
      </w:r>
    </w:p>
    <w:p>
      <w:pPr>
        <w:ind w:left="420"/>
      </w:pPr>
      <w:r>
        <w:t xml:space="preserve">11c. § 13 Absatz 2 Satz 2, § 23 Absatz 5 Satz 2, § 25 Absatz 9 Satz 2 bis 7, § 28 Absatz 4 Satz 4 sowie § 39 Absatz 4 des Kryptomärkteaufsichtsgesetzes,</w:t>
      </w:r>
    </w:p>
    <w:p>
      <w:pPr>
        <w:ind w:left="420"/>
      </w:pPr>
      <w:r>
        <w:t xml:space="preserve">12. § 23 Absatz 2 des Zahlungsdiensteaufsichtsgesetzes,</w:t>
      </w:r>
    </w:p>
    <w:p>
      <w:pPr>
        <w:ind w:left="420"/>
      </w:pPr>
      <w:r>
        <w:t xml:space="preserve">13. § 19 Absatz 2 Satz 1 bis 6, § 36 Absatz 1a und § 204 Absatz 2 des Versicherungsaufsichtsgesetzes und § 28 Absatz 2 Satz 1 bis 5 des Finanzkonglomerate-Aufsichtsgesetzes,</w:t>
      </w:r>
    </w:p>
    <w:p>
      <w:pPr>
        <w:ind w:left="420"/>
      </w:pPr>
      <w:r>
        <w:t xml:space="preserve">14. § 6 Abs. 4 Satz 4 bis 7 des Börsengesetzes,</w:t>
      </w:r>
    </w:p>
    <w:p>
      <w:pPr>
        <w:ind w:left="420"/>
      </w:pPr>
      <w:r>
        <w:t xml:space="preserve">15. § 10 des Partnerschaftsgesellschaftsgesetzes in Verbindung mit § 145 Absatz 1 und § 152 Absatz 1 des Handelsgesetzbuchs,</w:t>
      </w:r>
    </w:p>
    <w:p>
      <w:pPr>
        <w:ind w:left="420"/>
      </w:pPr>
      <w:r>
        <w:t xml:space="preserve">16. § 9 Absatz 2 und 3 Satz 2 und § 18 Absatz 2 Satz 2 und 3 des Schuldverschreibungsgesetzes,</w:t>
      </w:r>
    </w:p>
    <w:p>
      <w:pPr>
        <w:ind w:left="420"/>
      </w:pPr>
      <w:r>
        <w:t xml:space="preserve">17. § 736a Absatz 1 und 3 des Bürgerlichen Gesetzbuchs</w:t>
      </w:r>
    </w:p>
    <w:p>
      <w:r>
        <w:t xml:space="preserve">vom Gericht zu erledigenden Angelegenheiten.</w:t>
      </w:r>
    </w:p>
    <w:p>
      <w:r>
        <w:rPr>
          <w:color w:val="555555"/>
          <w:sz w:val="17"/>
        </w:rPr>
        <w:t xml:space="preserve">Zitiervorschlag: § 375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https://recht.nulegal.eu/gesetze/FamFG/375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