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374 FamFG — Registersachen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Registersachen sind</w:t>
      </w:r>
    </w:p>
    <w:p>
      <w:pPr>
        <w:ind w:left="420"/>
      </w:pPr>
      <w:r>
        <w:t xml:space="preserve">1. Handelsregistersachen,</w:t>
      </w:r>
    </w:p>
    <w:p>
      <w:pPr>
        <w:ind w:left="420"/>
      </w:pPr>
      <w:r>
        <w:t xml:space="preserve">2. Gesellschaftsregistersachen,</w:t>
      </w:r>
    </w:p>
    <w:p>
      <w:pPr>
        <w:ind w:left="420"/>
      </w:pPr>
      <w:r>
        <w:t xml:space="preserve">3. Genossenschaftsregistersachen,</w:t>
      </w:r>
    </w:p>
    <w:p>
      <w:pPr>
        <w:ind w:left="420"/>
      </w:pPr>
      <w:r>
        <w:t xml:space="preserve">4. Partnerschaftsregistersachen,</w:t>
      </w:r>
    </w:p>
    <w:p>
      <w:pPr>
        <w:ind w:left="420"/>
      </w:pPr>
      <w:r>
        <w:t xml:space="preserve">5. Vereinsregistersachen.</w:t>
      </w:r>
    </w:p>
    <w:p>
      <w:r>
        <w:rPr>
          <w:color w:val="555555"/>
          <w:sz w:val="17"/>
        </w:rPr>
        <w:t xml:space="preserve">Zitiervorschlag: § 374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