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372 FamFG — Rechtsmittel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Beschluss, durch den eine Frist nach § 366 Abs. 3 bestimmt wird, und ein Beschluss, durch den über die Wiedereinsetzung entschieden wird, ist mit der sofortigen Beschwerde in entsprechender Anwendung der §§ 567 bis 572 der Zivilprozessordnung anfechtbar.</w:t>
      </w:r>
    </w:p>
    <w:p>
      <w:r>
        <w:t xml:space="preserve">(2) Die Beschwerde gegen den Bestätigungsbeschluss kann nur darauf gegründet werden, dass die Vorschriften über das Verfahren nicht beachtet wurden.</w:t>
      </w:r>
    </w:p>
    <w:p>
      <w:r>
        <w:rPr>
          <w:color w:val="555555"/>
          <w:sz w:val="17"/>
        </w:rPr>
        <w:t xml:space="preserve">Zitiervorschlag: § 372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