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371 FamFG — Wirkung der bestätigten Vereinbarung und Auseinandersetzung; Vollstreckung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Vereinbarungen nach § 366 Abs. 1 sowie Auseinandersetzungen nach § 368 werden mit Rechtskraft des Bestätigungsbeschlusses wirksam und für alle Beteiligten in gleicher Weise verbindlich wie eine vertragliche Vereinbarung oder Auseinandersetzung.</w:t>
      </w:r>
    </w:p>
    <w:p>
      <w:r>
        <w:t xml:space="preserve">(2) Aus der Vereinbarung nach § 366 Abs. 1 sowie aus der Auseinandersetzung findet nach deren Wirksamwerden die Vollstreckung statt. Die §§ 795 und 797 der Zivilprozessordnung sind anzuwenden.</w:t>
      </w:r>
    </w:p>
    <w:p>
      <w:r>
        <w:rPr>
          <w:color w:val="555555"/>
          <w:sz w:val="17"/>
        </w:rPr>
        <w:t xml:space="preserve">Zitiervorschlag: § 371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