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FamFG — Grundlage der Entscheidung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entscheidet nach seiner freien, aus dem gesamten Inhalt des Verfahrens gewonnenen Überzeugung.</w:t>
      </w:r>
    </w:p>
    <w:p>
      <w:r>
        <w:t xml:space="preserve">(2) Das Gericht darf eine Entscheidung, die die Rechte eines Beteiligten beeinträchtigt, nur auf Tatsachen und Beweisergebnisse stützen, zu denen dieser Beteiligte sich äußern konnte.</w:t>
      </w:r>
    </w:p>
    <w:p>
      <w:r>
        <w:rPr>
          <w:color w:val="555555"/>
          <w:sz w:val="17"/>
        </w:rPr>
        <w:t xml:space="preserve">Zitiervorschlag: § 37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