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36a FamFG — Mediation, außergerichtliche Konfliktbeilegung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Gericht kann einzelnen oder allen Beteiligten eine Mediation oder ein anderes Verfahren der außergerichtlichen Konfliktbeilegung vorschlagen. In Gewaltschutzsachen sind die schutzwürdigen Belange der von Gewalt betroffenen Person zu wahren.</w:t>
      </w:r>
    </w:p>
    <w:p>
      <w:r>
        <w:t xml:space="preserve">(2) Entscheiden sich die Beteiligten zur Durchführung einer Mediation oder eines anderen Verfahrens der außergerichtlichen Konfliktbeilegung, setzt das Gericht das Verfahren aus.</w:t>
      </w:r>
    </w:p>
    <w:p>
      <w:r>
        <w:t xml:space="preserve">(3) Gerichtliche Anordnungs- und Genehmigungsvorbehalte bleiben von der Durchführung einer Mediation oder eines anderen Verfahrens der außergerichtlichen Konfliktbeilegung unberührt.</w:t>
      </w:r>
    </w:p>
    <w:p>
      <w:r>
        <w:rPr>
          <w:color w:val="555555"/>
          <w:sz w:val="17"/>
        </w:rPr>
        <w:t xml:space="preserve">Zitiervorschlag: § 36a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https://recht.nulegal.eu/gesetze/FamFG/36a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