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363 FamFG — Antrag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mehreren Erben hat der Notar auf Antrag die Auseinandersetzung des Nachlasses zwischen den Beteiligten zu vermitteln; das gilt nicht, wenn ein zur Auseinandersetzung berechtigter Testamentsvollstrecker vorhanden ist.</w:t>
      </w:r>
    </w:p>
    <w:p>
      <w:r>
        <w:t xml:space="preserve">(2) Antragsberechtigt ist jeder Miterbe, der Erwerber eines Erbteils sowie derjenige, welchem ein Pfandrecht oder ein Nießbrauch an einem Erbteil zusteht.</w:t>
      </w:r>
    </w:p>
    <w:p>
      <w:r>
        <w:t xml:space="preserve">(3) In dem Antrag sollen die Beteiligten und die Teilungsmasse bezeichnet werden.</w:t>
      </w:r>
    </w:p>
    <w:p>
      <w:r>
        <w:rPr>
          <w:color w:val="555555"/>
          <w:sz w:val="17"/>
        </w:rPr>
        <w:t xml:space="preserve">Zitiervorschlag: § 363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