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361 FamFG — Eidesstattliche Versicherung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Verlangt ein Nachlassgläubiger von dem Erben die Abgabe der in § 2006 des Bürgerlichen Gesetzbuchs vorgesehenen eidesstattlichen Versicherung, kann die Bestimmung des Termins zur Abgabe der eidesstattlichen Versicherung sowohl von dem Nachlassgläubiger als auch von dem Erben beantragt werden. Zu dem Termin sind beide Teile zu laden. Die Anwesenheit des Gläubigers ist nicht erforderlich. Die §§ 478 bis 480 und 483 der Zivilprozessordnung gelten entsprechend.</w:t>
      </w:r>
    </w:p>
    <w:p>
      <w:r>
        <w:rPr>
          <w:color w:val="555555"/>
          <w:sz w:val="17"/>
        </w:rPr>
        <w:t xml:space="preserve">Zitiervorschlag: § 361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