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360 FamFG — Bestimmung einer Inventarfrist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Frist zur Einlegung einer Beschwerde gegen den Beschluss, durch den dem Erben eine Inventarfrist bestimmt wird, beginnt für jeden Nachlassgläubiger mit dem Zeitpunkt, in dem der Beschluss dem Nachlassgläubiger bekannt gemacht wird, der den Antrag auf die Bestimmung der Inventarfrist gestellt hat.</w:t>
      </w:r>
    </w:p>
    <w:p>
      <w:r>
        <w:t xml:space="preserve">(2) Absatz 1 gilt entsprechend für die Beschwerde gegen einen Beschluss, durch den über die Bestimmung einer neuen Inventarfrist oder über den Antrag des Erben, die Inventarfrist zu verlängern, entschieden wird.</w:t>
      </w:r>
    </w:p>
    <w:p>
      <w:r>
        <w:rPr>
          <w:color w:val="555555"/>
          <w:sz w:val="17"/>
        </w:rPr>
        <w:t xml:space="preserve">Zitiervorschlag: § 360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