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359 FamFG — Nachlassverwaltung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Der Beschluss, durch den dem Antrag des Erben, die Nachlassverwaltung anzuordnen, stattgegeben wird, ist nicht anfechtbar.</w:t>
      </w:r>
    </w:p>
    <w:p>
      <w:r>
        <w:t xml:space="preserve">(2) Gegen den Beschluss, durch den dem Antrag eines Nachlassgläubigers, die Nachlassverwaltung anzuordnen, stattgegeben wird, steht die Beschwerde nur dem Erben, bei Miterben jedem Erben, sowie dem Testamentsvollstrecker zu, der zur Verwaltung des Nachlasses berechtigt ist.</w:t>
      </w:r>
    </w:p>
    <w:p>
      <w:r>
        <w:rPr>
          <w:color w:val="555555"/>
          <w:sz w:val="17"/>
        </w:rPr>
        <w:t xml:space="preserve">Zitiervorschlag: § 359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