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355 FamFG — Testamentsvollstreckung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 Beschluss, durch den das Nachlassgericht einem Dritten eine Frist zur Erklärung nach § 2198 Abs. 2 des Bürgerlichen Gesetzbuchs oder einer zum Testamentsvollstrecker ernannten Person eine Frist zur Annahme des Amtes bestimmt, ist mit der sofortigen Beschwerde in entsprechender Anwendung der §§ 567 bis 572 der Zivilprozessordnung anfechtbar.</w:t>
      </w:r>
    </w:p>
    <w:p>
      <w:r>
        <w:t xml:space="preserve">(2) Auf einen Beschluss, durch den das Gericht bei einer Meinungsverschiedenheit zwischen mehreren Testamentsvollstreckern über die Vornahme eines Rechtsgeschäfts entscheidet, ist § 40 Abs. 3 entsprechend anzuwenden; die Beschwerde ist binnen einer Frist von zwei Wochen einzulegen.</w:t>
      </w:r>
    </w:p>
    <w:p>
      <w:r>
        <w:t xml:space="preserve">(3) Führen mehrere Testamentsvollstrecker das Amt gemeinschaftlich, steht die Beschwerde gegen einen Beschluss, durch den das Gericht Anordnungen des Erblassers für die Verwaltung des Nachlasses außer Kraft setzt, sowie gegen einen Beschluss, durch den das Gericht über Meinungsverschiedenheiten zwischen den Testamentsvollstreckern entscheidet, jedem Testamentsvollstrecker selbständig zu.</w:t>
      </w:r>
    </w:p>
    <w:p>
      <w:r>
        <w:rPr>
          <w:color w:val="555555"/>
          <w:sz w:val="17"/>
        </w:rPr>
        <w:t xml:space="preserve">Zitiervorschlag: § 355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