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346 FamFG — Verfahren bei besonderer amtlicher Verwahrung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Annahme einer Verfügung von Todes wegen in besondere amtliche Verwahrung sowie deren Herausgabe ist von dem Richter anzuordnen und von ihm und dem Urkundsbeamten der Geschäftsstelle gemeinschaftlich zu bewirken.</w:t>
      </w:r>
    </w:p>
    <w:p>
      <w:r>
        <w:t xml:space="preserve">(2) Die Verwahrung erfolgt unter gemeinschaftlichem Verschluss des Richters und des Urkundsbeamten der Geschäftsstelle.</w:t>
      </w:r>
    </w:p>
    <w:p>
      <w:r>
        <w:t xml:space="preserve">(3) Dem Erblasser soll über die in Verwahrung genommene Verfügung von Todes wegen ein Hinterlegungsschein erteilt werden; bei einem gemeinschaftlichen Testament erhält jeder Erblasser einen eigenen Hinterlegungsschein, bei einem Erbvertrag jeder Vertragschließende.</w:t>
      </w:r>
    </w:p>
    <w:p>
      <w:r>
        <w:rPr>
          <w:color w:val="555555"/>
          <w:sz w:val="17"/>
        </w:rPr>
        <w:t xml:space="preserve">Zitiervorschlag: § 346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