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FamFG — Persönliche Anhörung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Das Gericht hat einen Beteiligten persönlich anzuhören,</w:t>
      </w:r>
    </w:p>
    <w:p>
      <w:pPr>
        <w:ind w:left="420"/>
      </w:pPr>
      <w:r>
        <w:t xml:space="preserve">1. wenn dies zur Gewährleistung des rechtlichen Gehörs des Beteiligten erforderlich ist oder</w:t>
      </w:r>
    </w:p>
    <w:p>
      <w:pPr>
        <w:ind w:left="420"/>
      </w:pPr>
      <w:r>
        <w:t xml:space="preserve">2. wenn dies in diesem oder in einem anderen Gesetz vorgeschrieben ist.</w:t>
      </w:r>
    </w:p>
    <w:p>
      <w:r>
        <w:t xml:space="preserve">(2) Die persönliche Anhörung eines Beteiligten kann unterbleiben, wenn hiervon erhebliche Nachteile für seine Gesundheit zu besorgen sind oder der Beteiligte offensichtlich nicht in der Lage ist, seinen Willen kundzutun.</w:t>
      </w:r>
    </w:p>
    <w:p>
      <w:r>
        <w:t xml:space="preserve">(3) Bleibt der Beteiligte im anberaumten Anhörungstermin unentschuldigt aus, kann das Verfahren ohne seine persönliche Anhörung beendet werden. Der Beteiligte ist auf die Folgen seines Ausbleibens hinzuweisen.</w:t>
      </w:r>
    </w:p>
    <w:p>
      <w:r>
        <w:t xml:space="preserve">(4) Im Anwendungsbereich des Absatzes 1 Nummer 1 kann das Gericht die persönliche Anhörung eines Beteiligten per Bild- und Tonübertragung gestatten. § 32 Absatz 3 gilt entsprechend.</w:t>
      </w:r>
    </w:p>
    <w:p>
      <w:r>
        <w:rPr>
          <w:color w:val="555555"/>
          <w:sz w:val="17"/>
        </w:rPr>
        <w:t xml:space="preserve">Zitiervorschlag: § 34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