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339 FamFG — Benachrichtigung von Angehörigen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02.07.2019 (konsolidierte Textfassung, kein amtliches Inkrafttretensdatum)</w:t>
      </w:r>
    </w:p>
    <w:p>
      <w:r>
        <w:t xml:space="preserve">Von der Anordnung oder Genehmigung einer Unterbringungsmaßnahme und deren Verlängerung hat das Gericht einen Angehörigen des Betroffenen oder eine Person seines Vertrauens unverzüglich zu benachrichtigen.</w:t>
      </w:r>
    </w:p>
    <w:p>
      <w:r>
        <w:rPr>
          <w:color w:val="555555"/>
          <w:sz w:val="17"/>
        </w:rPr>
        <w:t xml:space="preserve">Zitiervorschlag: § 339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