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337 FamFG — Kosten in Unterbringungssachen</w:t>
      </w:r>
    </w:p>
    <w:p>
      <w:r>
        <w:rPr>
          <w:color w:val="555555"/>
          <w:sz w:val="18"/>
        </w:rPr>
        <w:t xml:space="preserve">Gesetz über das Verfahren in Familiensachen und in den Angelegenheiten der freiwilligen Gerichtsbarkeit</w:t>
      </w:r>
    </w:p>
    <w:p>
      <w:r>
        <w:rPr>
          <w:color w:val="555555"/>
          <w:sz w:val="18"/>
        </w:rPr>
        <w:t xml:space="preserve">Stand: 02.07.2019 (konsolidierte Textfassung, kein amtliches Inkrafttretensdatum)</w:t>
      </w:r>
    </w:p>
    <w:p>
      <w:r>
        <w:t xml:space="preserve">(1) In Unterbringungssachen kann das Gericht die Auslagen des Betroffenen, soweit sie zur zweckentsprechenden Rechtsverfolgung notwendig waren, ganz oder teilweise der Staatskasse auferlegen, wenn eine Unterbringungsmaßnahme nach § 312 Nummer 1 bis 3 abgelehnt, als ungerechtfertigt aufgehoben, eingeschränkt oder das Verfahren ohne Entscheidung über eine Maßnahme beendet wird.</w:t>
      </w:r>
    </w:p>
    <w:p>
      <w:r>
        <w:t xml:space="preserve">(2) Wird ein Antrag auf eine Unterbringungsmaßnahme nach den Landesgesetzen über die Unterbringung psychisch Kranker nach § 312 Nummer 4 abgelehnt oder zurückgenommen und hat das Verfahren ergeben, dass für die zuständige Verwaltungsbehörde ein begründeter Anlass, den Antrag zu stellen, nicht vorgelegen hat, hat das Gericht die Auslagen des Betroffenen der Körperschaft aufzuerlegen, der die Verwaltungsbehörde angehört.</w:t>
      </w:r>
    </w:p>
    <w:p>
      <w:r>
        <w:rPr>
          <w:color w:val="555555"/>
          <w:sz w:val="17"/>
        </w:rPr>
        <w:t xml:space="preserve">Zitiervorschlag: § 337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