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333 FamFG — Dauer der einstweiligen Anordnung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einstweilige Anordnung darf die Dauer von sechs Wochen nicht überschreiten. Reicht dieser Zeitraum nicht aus, kann sie nach Anhörung eines Sachverständigen durch eine weitere einstweilige Anordnung verlängert werden. Die mehrfache Verlängerung ist unter den Voraussetzungen der Sätze 1 und 2 zulässig. Sie darf die Gesamtdauer von drei Monaten nicht überschreiten. Eine Unterbringung zur Vorbereitung eines Gutachtens (§ 322) ist in diese Gesamtdauer einzubeziehen.</w:t>
      </w:r>
    </w:p>
    <w:p>
      <w:r>
        <w:t xml:space="preserve">(2) Die einstweilige Anordnung darf bei der Genehmigung einer Einwilligung in eine ärztliche Zwangsmaßnahme oder deren Anordnung die Dauer von zwei Wochen nicht überschreiten. Bei mehrfacher Verlängerung darf die Gesamtdauer sechs Wochen nicht überschreiten.</w:t>
      </w:r>
    </w:p>
    <w:p>
      <w:r>
        <w:rPr>
          <w:color w:val="555555"/>
          <w:sz w:val="17"/>
        </w:rPr>
        <w:t xml:space="preserve">Zitiervorschlag: § 333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