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331 FamFG — Einstweilige Anordnung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Das Gericht kann durch einstweilige Anordnung eine vorläufige Unterbringungsmaßnahme anordnen oder genehmigen, wenn</w:t>
      </w:r>
    </w:p>
    <w:p>
      <w:pPr>
        <w:ind w:left="420"/>
      </w:pPr>
      <w:r>
        <w:t xml:space="preserve">1. dringende Gründe für die Annahme bestehen, dass die Voraussetzungen für die Genehmigung oder Anordnung einer Unterbringungsmaßnahme gegeben sind und ein dringendes Bedürfnis für ein sofortiges Tätigwerden besteht,</w:t>
      </w:r>
    </w:p>
    <w:p>
      <w:pPr>
        <w:ind w:left="420"/>
      </w:pPr>
      <w:r>
        <w:t xml:space="preserve">2. ein ärztliches Zeugnis über den Zustand des Betroffenen und über die Notwendigkeit der Maßnahme vorliegt; der Arzt, der das ärztliche Zeugnis ausstellt, soll Arzt für Psychiatrie sein; er muss Erfahrung auf dem Gebiet der Psychiatrie haben; dies gilt nicht für freiheitsentziehende Maßnahmen nach § 312 Nummer 2 und 4,</w:t>
      </w:r>
    </w:p>
    <w:p>
      <w:pPr>
        <w:ind w:left="420"/>
      </w:pPr>
      <w:r>
        <w:t xml:space="preserve">3. im Fall des § 317 ein Verfahrenspfleger bestellt und angehört worden ist und</w:t>
      </w:r>
    </w:p>
    <w:p>
      <w:pPr>
        <w:ind w:left="420"/>
      </w:pPr>
      <w:r>
        <w:t xml:space="preserve">4. der Betroffene persönlich angehört worden ist.</w:t>
      </w:r>
    </w:p>
    <w:p>
      <w:r>
        <w:t xml:space="preserve">Eine Anhörung des Betroffenen im Wege der Rechtshilfe ist abweichend von § 319 Abs. 4 zulässig.</w:t>
      </w:r>
    </w:p>
    <w:p>
      <w:r>
        <w:rPr>
          <w:color w:val="555555"/>
          <w:sz w:val="17"/>
        </w:rPr>
        <w:t xml:space="preserve">Zitiervorschlag: § 331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