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327 FamFG — Vollzugsangelegenheiten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Gegen eine Maßnahme zur Regelung einzelner Angelegenheiten im Vollzug einer Unterbringungsmaßnahme nach § 312 Nummer 4 kann der Betroffene eine Entscheidung des Gerichts beantragen. Mit dem Antrag kann auch die Verpflichtung zum Erlass einer abgelehnten oder unterlassenen Maßnahme begehrt werden.</w:t>
      </w:r>
    </w:p>
    <w:p>
      <w:r>
        <w:t xml:space="preserve">(2) Der Antrag ist nur zulässig, wenn der Betroffene geltend macht, durch die Maßnahme, ihre Ablehnung oder Unterlassung in seinen Rechten verletzt zu sein.</w:t>
      </w:r>
    </w:p>
    <w:p>
      <w:r>
        <w:t xml:space="preserve">(3) Der Antrag hat keine aufschiebende Wirkung. Das Gericht kann die aufschiebende Wirkung anordnen.</w:t>
      </w:r>
    </w:p>
    <w:p>
      <w:r>
        <w:t xml:space="preserve">(4) Der Beschluss ist nicht anfechtbar.</w:t>
      </w:r>
    </w:p>
    <w:p>
      <w:r>
        <w:rPr>
          <w:color w:val="555555"/>
          <w:sz w:val="17"/>
        </w:rPr>
        <w:t xml:space="preserve">Zitiervorschlag: § 327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