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326 FamFG — Zuführung zur Unterbringung; Verbringung zu einem stationären Aufenthalt</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Die zuständige Behörde hat den Betreuer oder den Bevollmächtigten im Sinne des § 1814 Absatz 3 Satz 2 Nummer 1 des Bürgerlichen Gesetzbuchs auf deren Wunsch bei der Zuführung zur Unterbringung nach § 312 Nr. 1 oder bei der Verbringung nach § 312 Nummer 3 zu unterstützen.</w:t>
      </w:r>
    </w:p>
    <w:p>
      <w:r>
        <w:t xml:space="preserve">(2) Gewalt darf die Behörde nur anwenden, wenn das Gericht dies ausdrücklich angeordnet hat. Die zuständige Behörde ist befugt, erforderlichenfalls die Unterstützung der polizeilichen Vollzugsorgane nachzusuchen.</w:t>
      </w:r>
    </w:p>
    <w:p>
      <w:r>
        <w:t xml:space="preserve">(3) Die Wohnung des Betroffenen darf ohne dessen Einwilligung nur gewaltsam geöffnet, betreten und durchsucht werden, wenn das Gericht dies zu dessen Zuführung zur Unterbringung oder zu dessen Verbringung nach § 312 Nummer 3 ausdrücklich angeordnet hat. Vor der Anordnung ist der Betroffene persönlich anzuhören. Bei Gefahr im Verzug kann die Anordnung durch die zuständige Behörde ohne vorherige Anhörung des Betroffenen erfolgen. Durch diese Regelung wird das Grundrecht auf Unverletzlichkeit der Wohnung aus Artikel 13 Absatz 1 des Grundgesetzes eingeschränkt.</w:t>
      </w:r>
    </w:p>
    <w:p>
      <w:r>
        <w:rPr>
          <w:color w:val="555555"/>
          <w:sz w:val="17"/>
        </w:rPr>
        <w:t xml:space="preserve">Zitiervorschlag: § 326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