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325 FamFG — Bekanntgabe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Von der Bekanntgabe der Gründe eines Beschlusses an den Betroffenen kann abgesehen werden, wenn dies nach ärztlichem Zeugnis erforderlich ist, um erhebliche Nachteile für seine Gesundheit zu vermeiden.</w:t>
      </w:r>
    </w:p>
    <w:p>
      <w:r>
        <w:t xml:space="preserve">(2) Der Beschluss, durch den eine Unterbringungsmaßnahme genehmigt oder angeordnet wird, ist auch dem Leiter der Einrichtung, in der der Betroffene untergebracht werden soll, bekannt zu geben. Das Gericht hat der zuständigen Behörde die Entscheidung, durch die eine Unterbringungsmaßnahme genehmigt, angeordnet oder aufgehoben wird, bekannt zu geben.</w:t>
      </w:r>
    </w:p>
    <w:p>
      <w:r>
        <w:rPr>
          <w:color w:val="555555"/>
          <w:sz w:val="17"/>
        </w:rPr>
        <w:t xml:space="preserve">Zitiervorschlag: § 325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