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322 FamFG — Vorführung zur Untersuchung; Unterbringung zur Begutachtung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Vorführung zur Untersuchung und die Unterbringung zur Begutachtung gelten die §§ 283 und 284 entsprechend.</w:t>
      </w:r>
    </w:p>
    <w:p>
      <w:r>
        <w:rPr>
          <w:color w:val="555555"/>
          <w:sz w:val="17"/>
        </w:rPr>
        <w:t xml:space="preserve">Zitiervorschlag: § 322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